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BC064F">
        <w:trPr>
          <w:tblHeader/>
        </w:trPr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color w:val="000000"/>
                <w:sz w:val="24"/>
                <w:szCs w:val="24"/>
              </w:rPr>
              <w:t>СОГЛАШЕНИЕ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</w:tbl>
    <w:p w:rsidR="00BC064F" w:rsidRDefault="00BC064F">
      <w:pPr>
        <w:rPr>
          <w:vanish/>
        </w:rPr>
      </w:pPr>
      <w:bookmarkStart w:id="2" w:name="__bookmark_2"/>
      <w:bookmarkEnd w:id="2"/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4677"/>
        <w:gridCol w:w="4678"/>
      </w:tblGrid>
      <w:tr w:rsidR="00BC064F">
        <w:trPr>
          <w:trHeight w:hRule="exact" w:val="825"/>
          <w:tblHeader/>
        </w:trPr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Красногорск, Московская область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января 2020 г.</w:t>
            </w:r>
          </w:p>
        </w:tc>
      </w:tr>
    </w:tbl>
    <w:p w:rsidR="00BC064F" w:rsidRDefault="00BC064F">
      <w:pPr>
        <w:rPr>
          <w:vanish/>
        </w:rPr>
      </w:pPr>
      <w:bookmarkStart w:id="3" w:name="__bookmark_3"/>
      <w:bookmarkEnd w:id="3"/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BC064F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МИНИСТЕРСТВО ОБРАЗОВАНИЯ МОСКОВСКОЙ ОБЛАСТИ (далее - Учредитель) в лице заместителя министра образования Московской области Лазарева Андрея Александровича, действующего на основании Распоряжения Министерства образования Московской области от 09.01.2020 №</w:t>
            </w:r>
            <w:r>
              <w:rPr>
                <w:color w:val="000000"/>
                <w:sz w:val="24"/>
                <w:szCs w:val="24"/>
              </w:rPr>
              <w:t xml:space="preserve"> 004  «О праве подписи Лазарева А.А. на 2020 год», с одной стороны, и ГОСУДАРСТВЕННОЕ БЮДЖЕТНОЕ ОБРАЗОВАТЕЛЬНОЕ УЧРЕЖДЕНИЕ ВЫСШЕГО ОБРАЗОВАНИЯ МОСКОВСКОЙ ОБЛАСТИ "ТЕХНОЛОГИЧЕСКИЙ УНИВЕРСИТЕТ" (далее - Учреждение) в лице руководителя Старцевой Татьяны Евген</w:t>
            </w:r>
            <w:r>
              <w:rPr>
                <w:color w:val="000000"/>
                <w:sz w:val="24"/>
                <w:szCs w:val="24"/>
              </w:rPr>
              <w:t>ьевны, действующего на основании Устава, с другой стороны, вместе именуемые «Стороны», на основании приказа Министра образования Московской области от 25.12.2019 №2927 «Об утверждении объемов финансового обеспечения на выполнение государственных заданий на</w:t>
            </w:r>
            <w:r>
              <w:rPr>
                <w:color w:val="000000"/>
                <w:sz w:val="24"/>
                <w:szCs w:val="24"/>
              </w:rPr>
              <w:t xml:space="preserve"> оказание услуг (выполнение работ) государственными образовательными организациями Московской области, подведомственными Министерству образования Московской области, на 2020 год и на плановый период 2021 и 2022 годов» заключили настоящее Соглашение о нижес</w:t>
            </w:r>
            <w:r>
              <w:rPr>
                <w:color w:val="000000"/>
                <w:sz w:val="24"/>
                <w:szCs w:val="24"/>
              </w:rPr>
              <w:t xml:space="preserve">ледующем. </w:t>
            </w:r>
          </w:p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1. Предмет соглашения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Предметом настоящего Соглашения является предоставление Учреждению из бюджета Московской области в 2020 году субсидии на финансовое обеспечение выполнения государственного задания на оказание государственных услуг (в</w:t>
            </w:r>
            <w:r>
              <w:rPr>
                <w:color w:val="000000"/>
                <w:sz w:val="24"/>
                <w:szCs w:val="24"/>
              </w:rPr>
              <w:t>ыполнение работ) (далее - Субсидия, государственное задание).</w:t>
            </w:r>
          </w:p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2. Права и обязанности Сторон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 Учредитель обязуется: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2.1.1.  Определять размер субсидии на финансовое обеспечение выполнения государственного задания (далее - Субсидия) Учреждением в соответствии с показателями государственного задания на основании нормативных затрат на оказание государственных услуг с прим</w:t>
            </w:r>
            <w:r>
              <w:rPr>
                <w:color w:val="000000"/>
                <w:sz w:val="24"/>
                <w:szCs w:val="24"/>
              </w:rPr>
              <w:t>енением базовых нормативов затрат и корректирующих коэффициентов к базовым нормативам затрат, нормативных затрат на выполнение работ, определенных в соответствии с Порядком определения нормативных затрат на оказание государственными учреждениями Московской</w:t>
            </w:r>
            <w:r>
              <w:rPr>
                <w:color w:val="000000"/>
                <w:sz w:val="24"/>
                <w:szCs w:val="24"/>
              </w:rPr>
              <w:t xml:space="preserve"> области государственных услуг (выполнение работ),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 учреждением Московской области, а </w:t>
            </w:r>
            <w:r>
              <w:rPr>
                <w:color w:val="000000"/>
                <w:sz w:val="24"/>
                <w:szCs w:val="24"/>
              </w:rPr>
              <w:t>также затрат на выполнение работ, рассчитанных сметным методом.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2.1.2. Определять размер Субсидии с учетом нормативных затрат на содержание соответствующего недвижимого имущества и особо ценного движимого имущества, закрепленного за Учреждением или приобр</w:t>
            </w:r>
            <w:r>
              <w:rPr>
                <w:color w:val="000000"/>
                <w:sz w:val="24"/>
                <w:szCs w:val="24"/>
              </w:rPr>
              <w:t>етенного Учреждением за счет средств, выделенных ему Учредителем на приобретение такого имущества (за исключением имущества, сданного в аренду), и на уплату налогов, в качестве объекта налогообложения, по которым признается соответствующее имущество, в том</w:t>
            </w:r>
            <w:r>
              <w:rPr>
                <w:color w:val="000000"/>
                <w:sz w:val="24"/>
                <w:szCs w:val="24"/>
              </w:rPr>
              <w:t xml:space="preserve"> числе земельные участки.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2.1.3. Предоставлять Субсидию в соответствии с Приложением графиком перечисления Субсидии, являющимся неотъемлемым приложением к настоящему Соглашению.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2.1.4. Осуществлять контроль за выполнением Учреждением условий предоставлен</w:t>
            </w:r>
            <w:r>
              <w:rPr>
                <w:color w:val="000000"/>
                <w:sz w:val="24"/>
                <w:szCs w:val="24"/>
              </w:rPr>
              <w:t>ия Субсидии.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 со дня поступления указанных предложений.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ab/>
              <w:t xml:space="preserve">2.1.6.  В случае, указанном </w:t>
            </w:r>
            <w:r>
              <w:rPr>
                <w:color w:val="000000"/>
                <w:sz w:val="24"/>
                <w:szCs w:val="24"/>
              </w:rPr>
              <w:t xml:space="preserve">в подпункте 2.3.5 пункта 2.3 настоящего Соглашения, Учредитель обязуется обеспечить возврат в бюджет Московской области в соответствии с бюджетным законодательством Российской Федерации остатков Субсидии в объеме, соответствующем недостигнутым показателям </w:t>
            </w:r>
            <w:r>
              <w:rPr>
                <w:color w:val="000000"/>
                <w:sz w:val="24"/>
                <w:szCs w:val="24"/>
              </w:rPr>
              <w:t xml:space="preserve">государственного задания.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2.1.7. В случае, указанном в подпункте 2.3.5 настоящего Соглашения, Учредитель обязуется обеспечить возврат в соответствующий бюджет бюджетной системы Российской Федерации остатков Субсидии в объеме, соответствующем недостигнуты</w:t>
            </w:r>
            <w:r>
              <w:rPr>
                <w:color w:val="000000"/>
                <w:sz w:val="24"/>
                <w:szCs w:val="24"/>
              </w:rPr>
              <w:t>м показателям государственного задания.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2.1.8. Утверждать отчеты о выполнении государственного задания, представляемые Учреждением в соответствии с Порядком формирования и финансового обеспечения выполнения государственного задания государственными учрежд</w:t>
            </w:r>
            <w:r>
              <w:rPr>
                <w:color w:val="000000"/>
                <w:sz w:val="24"/>
                <w:szCs w:val="24"/>
              </w:rPr>
              <w:t>ениями Московской области.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</w:t>
            </w:r>
            <w:r>
              <w:rPr>
                <w:color w:val="000000"/>
                <w:sz w:val="24"/>
                <w:szCs w:val="24"/>
              </w:rPr>
              <w:t>г (выполняемых работ).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 Учреждение обязуется: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</w:t>
            </w:r>
            <w:r>
              <w:rPr>
                <w:color w:val="000000"/>
                <w:sz w:val="24"/>
                <w:szCs w:val="24"/>
              </w:rPr>
              <w:t>услуг (выполнения работ), определенными в государственном задании.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2.3.2. Назначить в Учреждении должностных лиц, ответственных за выполнение государственных услуг (работ) в рамках государственного задания, а также за соблюдение порядка и условий предоста</w:t>
            </w:r>
            <w:r>
              <w:rPr>
                <w:color w:val="000000"/>
                <w:sz w:val="24"/>
                <w:szCs w:val="24"/>
              </w:rPr>
              <w:t>вления Субсидии.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2.3.3. Информировать Учредителя об изменении условий оказания услуг (выполнения работ), которые могут повлиять на изменение размера Субсидии.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2.3.4. Представлять Учредителю отчет о выполнении государственного задания по форме и в сроки, </w:t>
            </w:r>
            <w:r>
              <w:rPr>
                <w:color w:val="000000"/>
                <w:sz w:val="24"/>
                <w:szCs w:val="24"/>
              </w:rPr>
              <w:t>установленные Порядком формирования и финансового обеспечения выполнения государственного задания государственными учреждениями Московской области.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2.3.5.  Осуществить возврат в бюджет Московской области в соответствии с бюджетным законодательством Россий</w:t>
            </w:r>
            <w:r>
              <w:rPr>
                <w:color w:val="000000"/>
                <w:sz w:val="24"/>
                <w:szCs w:val="24"/>
              </w:rPr>
              <w:t>ской Федерации остатков Субсидии в объеме, соответствующем недостигнутым показателям государственного задания, в случаях: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2.3.5.1. Если ожидаемое исполнение показателей объема, указанное в отчете за 9 месяцев (предварительном за год), меньше показателей, </w:t>
            </w:r>
            <w:r>
              <w:rPr>
                <w:color w:val="000000"/>
                <w:sz w:val="24"/>
                <w:szCs w:val="24"/>
              </w:rPr>
              <w:t>установленных в государственном задании.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2.3.5.2. Если исполнение на отчетную дату показателей объема, указанное в отчете за год (итоговом), меньше ожидаемого исполнения по соответствующим показателям, указанного в отчете за 9 месяцев (предварительном за </w:t>
            </w:r>
            <w:r>
              <w:rPr>
                <w:color w:val="000000"/>
                <w:sz w:val="24"/>
                <w:szCs w:val="24"/>
              </w:rPr>
              <w:t>год).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2.3.5.3.  Если исполнение на отчетную дату показателей качества, указанное в отчете за год (итоговом), не соответствует показателям качества, установленным в государственном задании.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2.3.6. Представлять по запросу Учредителя и в установленные им с</w:t>
            </w:r>
            <w:r>
              <w:rPr>
                <w:color w:val="000000"/>
                <w:sz w:val="24"/>
                <w:szCs w:val="24"/>
              </w:rPr>
              <w:t>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2.3.7. Обеспечить целевое использование средств Субсидии.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2.3.8. Представлять в Министерство экономики </w:t>
            </w:r>
            <w:r>
              <w:rPr>
                <w:color w:val="000000"/>
                <w:sz w:val="24"/>
                <w:szCs w:val="24"/>
              </w:rPr>
              <w:t>и финансов Московской области при осуществлении кассовых выплат за счет средств Субсидии одновременно с платежным документом уникальный номер реестровой записи, подтверждающий осуществление Учреждением закупок товаров, работ, услуг посредством Единой автом</w:t>
            </w:r>
            <w:r>
              <w:rPr>
                <w:color w:val="000000"/>
                <w:sz w:val="24"/>
                <w:szCs w:val="24"/>
              </w:rPr>
              <w:t>атизированной системы управления закупками Московской области (ЕАСУЗ).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2.3.9. В договоры Учреждения о поставке товаров, выполнении работ, оказании услуг, подлежащие оплате за счет Субсидии, включать условие о возможности изменения по соглашению сторон раз</w:t>
            </w:r>
            <w:r>
              <w:rPr>
                <w:color w:val="000000"/>
                <w:sz w:val="24"/>
                <w:szCs w:val="24"/>
              </w:rPr>
              <w:t>мера и (или) сроков оплаты и (или) объема товаров, работ, услуг в случае уменьшения Учредителю в соответствии с Бюджетным кодексом Российской Федерации ранее доведенных в установленном порядке лимитов бюджетных обязательств на предоставление Субсидии.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2.3</w:t>
            </w:r>
            <w:r>
              <w:rPr>
                <w:color w:val="000000"/>
                <w:sz w:val="24"/>
                <w:szCs w:val="24"/>
              </w:rPr>
              <w:t xml:space="preserve">.10. Обеспечить в 2020году недопущение снижения в Учреждении средней заработной платы категорий работников, определенных в Указе Президента Российской Федерации от 07.05.2012 № 597 «О мероприятиях по реализации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политики», по срав</w:t>
            </w:r>
            <w:r>
              <w:rPr>
                <w:color w:val="000000"/>
                <w:sz w:val="24"/>
                <w:szCs w:val="24"/>
              </w:rPr>
              <w:t xml:space="preserve">нению с 2019 годом, а также выполнение целевых показателей заработной платы работников, указанных в государственной программе Московской области «Образование Подмосковья» и иных государственных программах Московской области. 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2.4. Учреждение вправе: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2.4</w:t>
            </w:r>
            <w:r>
              <w:rPr>
                <w:color w:val="000000"/>
                <w:sz w:val="24"/>
                <w:szCs w:val="24"/>
              </w:rPr>
              <w:t>.1.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2.4.2. В случае признания утратившими силу положений закона Московской области о бюджете Московской области на текущий финансовый год и на плановый период в части, относящейся к плановому периоду, не принимать решение о расторжении договоров Учреждения о </w:t>
            </w:r>
            <w:r>
              <w:rPr>
                <w:color w:val="000000"/>
                <w:sz w:val="24"/>
                <w:szCs w:val="24"/>
              </w:rPr>
              <w:t>поставке товаров, выполнении работ, оказании услуг, подлежащих оплате за счет Субсидии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      </w:r>
          </w:p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3. Ответственность Сторон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законодательством Московской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4. Срок действия Соглашения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Настоящее Соглашение вступает в силу с момента подписания обеими Сторонами и действует до 31 декабря 2020 года.</w:t>
            </w:r>
          </w:p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5. Заключительные положения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5.1.  Изменение настоящего Соглашения осуществляется по взаимному соглас</w:t>
            </w:r>
            <w:r>
              <w:rPr>
                <w:color w:val="000000"/>
                <w:sz w:val="24"/>
                <w:szCs w:val="24"/>
              </w:rPr>
              <w:t>ию Сторон в электронном виде с использованием государственной информационной системы «Региональный электронный бюджет Московской области» дополнений к настоящему Соглашению, которые являются его неотъемлемой частью.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5.2. Расторжение настоящего Соглашения </w:t>
            </w:r>
            <w:r>
              <w:rPr>
                <w:color w:val="000000"/>
                <w:sz w:val="24"/>
                <w:szCs w:val="24"/>
              </w:rPr>
              <w:t>допускается по соглашению сторон или по решению суда по основаниям, предусмотренным законодательством Российской Федерации.</w:t>
            </w:r>
          </w:p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5.3. Споры между Сторонами решаются путем переговоров с оформлением соответствующих протоколов или иных документов или в судебном п</w:t>
            </w:r>
            <w:r>
              <w:rPr>
                <w:color w:val="000000"/>
                <w:sz w:val="24"/>
                <w:szCs w:val="24"/>
              </w:rPr>
              <w:t>орядке в соответствии с законодательством Российской Федерации.</w:t>
            </w:r>
          </w:p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6. Платежные реквизиты Сторон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</w:tbl>
    <w:p w:rsidR="00BC064F" w:rsidRDefault="00BC064F">
      <w:pPr>
        <w:rPr>
          <w:vanish/>
        </w:rPr>
      </w:pPr>
      <w:bookmarkStart w:id="4" w:name="__bookmark_4"/>
      <w:bookmarkEnd w:id="4"/>
    </w:p>
    <w:tbl>
      <w:tblPr>
        <w:tblW w:w="9355" w:type="dxa"/>
        <w:tblBorders>
          <w:top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8"/>
      </w:tblGrid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нахождения: 143407, МОСКОВСКАЯ ОБЛАСТЬ, ГОРОД КРАСНОГОРСК, БУЛЬВАР СТРОИТЕЛЕЙ, ДОМ 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нахождения: 141074, МОСКОВСКАЯ ОБЛАС</w:t>
            </w:r>
            <w:r>
              <w:rPr>
                <w:color w:val="000000"/>
                <w:sz w:val="24"/>
                <w:szCs w:val="24"/>
              </w:rPr>
              <w:t>ТЬ, ГОРОД КОРОЛЕВ, УЛИЦА ГАГАРИНА, 42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реквизиты: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7706009270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5018051823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 502401001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 501801001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№ 40201810245250000104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 № 40601810945253000001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ГУ БАНКА РОССИИ ПО ЦФО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ГУ БАНКА РОССИИ ПО ЦФО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044525000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 044525000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Лицевой счет 03014000770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Лицевой счет 20014209440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УФК по Московской области (Министерство экономики и финансов Московской области л/с 02482000010 (л/с 03014000770 Министерство образования Московской области))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МОСКОВСКОЙ ОБЛАСТИ "ТЕХНОЛОГИЧЕСКИЙ УНИВЕРСИТЕТ"  Код дохода 00000000000000000130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ОКТМО: 46744000001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ОКТМО: 46734000001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BC064F">
            <w:pPr>
              <w:spacing w:line="1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764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дохода: 00000000000000000130</w:t>
            </w:r>
          </w:p>
        </w:tc>
      </w:tr>
      <w:tr w:rsidR="00BC064F">
        <w:trPr>
          <w:tblHeader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BC064F">
            <w:pPr>
              <w:spacing w:line="1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BC064F">
            <w:pPr>
              <w:rPr>
                <w:color w:val="000000"/>
                <w:sz w:val="24"/>
                <w:szCs w:val="24"/>
              </w:rPr>
            </w:pPr>
          </w:p>
        </w:tc>
      </w:tr>
      <w:tr w:rsidR="00BC064F">
        <w:trPr>
          <w:tblHeader/>
        </w:trPr>
        <w:tc>
          <w:tcPr>
            <w:tcW w:w="4677" w:type="dxa"/>
            <w:tcMar>
              <w:top w:w="0" w:type="dxa"/>
              <w:left w:w="200" w:type="dxa"/>
              <w:bottom w:w="0" w:type="dxa"/>
              <w:right w:w="400" w:type="dxa"/>
            </w:tcMar>
            <w:vAlign w:val="center"/>
          </w:tcPr>
          <w:p w:rsidR="00BC064F" w:rsidRDefault="00BC064F">
            <w:pPr>
              <w:spacing w:line="1" w:lineRule="auto"/>
            </w:pPr>
          </w:p>
        </w:tc>
        <w:tc>
          <w:tcPr>
            <w:tcW w:w="4678" w:type="dxa"/>
            <w:tcMar>
              <w:top w:w="0" w:type="dxa"/>
              <w:left w:w="400" w:type="dxa"/>
              <w:bottom w:w="0" w:type="dxa"/>
              <w:right w:w="200" w:type="dxa"/>
            </w:tcMar>
            <w:vAlign w:val="center"/>
          </w:tcPr>
          <w:p w:rsidR="00BC064F" w:rsidRDefault="00BC064F">
            <w:pPr>
              <w:spacing w:line="1" w:lineRule="auto"/>
            </w:pPr>
          </w:p>
        </w:tc>
      </w:tr>
    </w:tbl>
    <w:p w:rsidR="00BC064F" w:rsidRDefault="00BC064F">
      <w:pPr>
        <w:rPr>
          <w:vanish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41"/>
      </w:tblGrid>
      <w:tr w:rsidR="00BC064F">
        <w:trPr>
          <w:trHeight w:val="240"/>
        </w:trPr>
        <w:tc>
          <w:tcPr>
            <w:tcW w:w="9355" w:type="dxa"/>
            <w:gridSpan w:val="4"/>
            <w:vMerge w:val="restart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Подписи сторон</w:t>
            </w:r>
          </w:p>
        </w:tc>
      </w:tr>
      <w:tr w:rsidR="00BC064F">
        <w:trPr>
          <w:trHeight w:val="240"/>
        </w:trPr>
        <w:tc>
          <w:tcPr>
            <w:tcW w:w="4676" w:type="dxa"/>
            <w:gridSpan w:val="2"/>
            <w:vMerge w:val="restart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министра образования Московской области</w:t>
            </w:r>
          </w:p>
        </w:tc>
        <w:tc>
          <w:tcPr>
            <w:tcW w:w="4679" w:type="dxa"/>
            <w:gridSpan w:val="2"/>
            <w:vMerge w:val="restart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</w:tr>
      <w:tr w:rsidR="00BC064F">
        <w:tc>
          <w:tcPr>
            <w:tcW w:w="2338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BC064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BC064F">
            <w:pPr>
              <w:spacing w:line="1" w:lineRule="auto"/>
              <w:jc w:val="center"/>
            </w:pPr>
          </w:p>
        </w:tc>
        <w:tc>
          <w:tcPr>
            <w:tcW w:w="2338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BC064F">
            <w:pPr>
              <w:spacing w:line="1" w:lineRule="auto"/>
              <w:jc w:val="center"/>
            </w:pPr>
          </w:p>
        </w:tc>
        <w:tc>
          <w:tcPr>
            <w:tcW w:w="2341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BC064F" w:rsidRDefault="00BC064F">
            <w:pPr>
              <w:spacing w:line="1" w:lineRule="auto"/>
              <w:jc w:val="center"/>
            </w:pPr>
          </w:p>
        </w:tc>
      </w:tr>
      <w:tr w:rsidR="00BC064F"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Лазарев А.А.</w:t>
            </w: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341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Т.Е.</w:t>
            </w:r>
          </w:p>
        </w:tc>
      </w:tr>
      <w:tr w:rsidR="00BC064F"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BC064F">
            <w:pPr>
              <w:spacing w:line="1" w:lineRule="auto"/>
              <w:jc w:val="center"/>
            </w:pPr>
          </w:p>
        </w:tc>
        <w:tc>
          <w:tcPr>
            <w:tcW w:w="2338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764D6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41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064F" w:rsidRDefault="00BC064F">
            <w:pPr>
              <w:spacing w:line="1" w:lineRule="auto"/>
              <w:jc w:val="center"/>
            </w:pPr>
          </w:p>
        </w:tc>
      </w:tr>
      <w:tr w:rsidR="00BC064F">
        <w:trPr>
          <w:trHeight w:val="280"/>
        </w:trPr>
        <w:tc>
          <w:tcPr>
            <w:tcW w:w="4676" w:type="dxa"/>
            <w:gridSpan w:val="2"/>
            <w:vMerge w:val="restart"/>
            <w:tcMar>
              <w:top w:w="2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BC064F">
            <w:pPr>
              <w:spacing w:line="240" w:lineRule="exact"/>
              <w:rPr>
                <w:color w:val="000000"/>
                <w:sz w:val="24"/>
                <w:szCs w:val="24"/>
              </w:rPr>
            </w:pPr>
            <w:bookmarkStart w:id="5" w:name="Штампы.РуководительУчредителя_1"/>
            <w:bookmarkEnd w:id="5"/>
          </w:p>
          <w:p w:rsidR="00BC064F" w:rsidRDefault="00764D61">
            <w:pPr>
              <w:pStyle w:val="stamp"/>
            </w:pPr>
            <w:r>
              <w:t>Подписано</w:t>
            </w:r>
            <w:r>
              <w:t xml:space="preserve">. </w:t>
            </w:r>
            <w:r>
              <w:t>Заверено</w:t>
            </w:r>
            <w:r>
              <w:t xml:space="preserve"> </w:t>
            </w:r>
            <w:r>
              <w:t>ЭП</w:t>
            </w:r>
            <w:r>
              <w:t>.</w:t>
            </w:r>
            <w:r>
              <w:br/>
            </w:r>
            <w:r>
              <w:t>ФИО</w:t>
            </w:r>
            <w:r>
              <w:t xml:space="preserve">: </w:t>
            </w:r>
            <w:r>
              <w:t>Лазарев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Александрович</w:t>
            </w:r>
            <w:r>
              <w:br/>
            </w:r>
            <w:r>
              <w:t>Должность</w:t>
            </w:r>
            <w:r>
              <w:t xml:space="preserve">: </w:t>
            </w: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образования</w:t>
            </w:r>
            <w:r>
              <w:t xml:space="preserve"> </w:t>
            </w:r>
            <w:r>
              <w:t>Московской</w:t>
            </w:r>
            <w:r>
              <w:t xml:space="preserve"> </w:t>
            </w:r>
            <w:r>
              <w:t>области</w:t>
            </w:r>
            <w:r>
              <w:br/>
            </w:r>
            <w:r>
              <w:t>Действует</w:t>
            </w:r>
            <w:r>
              <w:t xml:space="preserve"> </w:t>
            </w:r>
            <w:r>
              <w:t>с</w:t>
            </w:r>
            <w:r>
              <w:t>: 19.09.2019 17:13:47</w:t>
            </w:r>
            <w:r>
              <w:br/>
            </w:r>
            <w:r>
              <w:t>Действует</w:t>
            </w:r>
            <w:r>
              <w:t xml:space="preserve"> </w:t>
            </w:r>
            <w:r>
              <w:t>по</w:t>
            </w:r>
            <w:r>
              <w:t>: 19.09.2020 17:13:47</w:t>
            </w:r>
            <w:r>
              <w:br/>
            </w:r>
            <w:r>
              <w:t>Серийный</w:t>
            </w:r>
            <w:r>
              <w:t xml:space="preserve"> </w:t>
            </w:r>
            <w:r>
              <w:t>номер</w:t>
            </w:r>
            <w:r>
              <w:t>: 7851210b000000039248</w:t>
            </w:r>
            <w:r>
              <w:br/>
            </w:r>
            <w:r>
              <w:t>Издатель</w:t>
            </w:r>
            <w:r>
              <w:t xml:space="preserve">: </w:t>
            </w:r>
            <w:r>
              <w:t>ЗАО</w:t>
            </w:r>
            <w:r>
              <w:t xml:space="preserve"> "</w:t>
            </w:r>
            <w:r>
              <w:t>ТАКСНЕТ</w:t>
            </w:r>
            <w:r>
              <w:t>"</w:t>
            </w:r>
            <w:r>
              <w:br/>
            </w:r>
            <w:r>
              <w:t>Время</w:t>
            </w:r>
            <w:r>
              <w:t xml:space="preserve"> </w:t>
            </w:r>
            <w:r>
              <w:t>подписания</w:t>
            </w:r>
            <w:r>
              <w:t>: 13.01.2020 14:35:56</w:t>
            </w:r>
          </w:p>
        </w:tc>
        <w:tc>
          <w:tcPr>
            <w:tcW w:w="4679" w:type="dxa"/>
            <w:gridSpan w:val="2"/>
            <w:vMerge w:val="restart"/>
            <w:tcMar>
              <w:top w:w="20" w:type="dxa"/>
              <w:left w:w="100" w:type="dxa"/>
              <w:bottom w:w="0" w:type="dxa"/>
              <w:right w:w="100" w:type="dxa"/>
            </w:tcMar>
            <w:vAlign w:val="center"/>
          </w:tcPr>
          <w:p w:rsidR="00BC064F" w:rsidRDefault="00BC064F">
            <w:pPr>
              <w:spacing w:line="240" w:lineRule="exact"/>
              <w:rPr>
                <w:color w:val="000000"/>
                <w:sz w:val="24"/>
                <w:szCs w:val="24"/>
              </w:rPr>
            </w:pPr>
            <w:bookmarkStart w:id="6" w:name="Штампы.РуководительУчреждения_1"/>
            <w:bookmarkEnd w:id="6"/>
          </w:p>
          <w:p w:rsidR="00BC064F" w:rsidRDefault="00764D61">
            <w:pPr>
              <w:pStyle w:val="stamp"/>
            </w:pPr>
            <w:r>
              <w:t>Подписано</w:t>
            </w:r>
            <w:r>
              <w:t xml:space="preserve">. </w:t>
            </w:r>
            <w:r>
              <w:t>Заверено</w:t>
            </w:r>
            <w:r>
              <w:t xml:space="preserve"> </w:t>
            </w:r>
            <w:r>
              <w:t>ЭП</w:t>
            </w:r>
            <w:r>
              <w:t>.</w:t>
            </w:r>
            <w:r>
              <w:br/>
            </w:r>
            <w:r>
              <w:t>ФИО</w:t>
            </w:r>
            <w:r>
              <w:t xml:space="preserve">: </w:t>
            </w:r>
            <w:r>
              <w:t>Старцева</w:t>
            </w:r>
            <w:r>
              <w:t xml:space="preserve"> </w:t>
            </w:r>
            <w:r>
              <w:t>Татьяна</w:t>
            </w:r>
            <w:r>
              <w:t xml:space="preserve"> </w:t>
            </w:r>
            <w:r>
              <w:t>Евгеньевна</w:t>
            </w:r>
            <w:r>
              <w:br/>
            </w:r>
            <w:r>
              <w:t>Д</w:t>
            </w:r>
            <w:r>
              <w:t>олжность</w:t>
            </w:r>
            <w:r>
              <w:t xml:space="preserve">: </w:t>
            </w:r>
            <w:r>
              <w:t>Ректор</w:t>
            </w:r>
            <w:r>
              <w:br/>
            </w:r>
            <w:r>
              <w:t>Действует</w:t>
            </w:r>
            <w:r>
              <w:t xml:space="preserve"> </w:t>
            </w:r>
            <w:r>
              <w:t>с</w:t>
            </w:r>
            <w:r>
              <w:t>: 04.03.2019 15:02:31</w:t>
            </w:r>
            <w:r>
              <w:br/>
            </w:r>
            <w:r>
              <w:t>Действует</w:t>
            </w:r>
            <w:r>
              <w:t xml:space="preserve"> </w:t>
            </w:r>
            <w:r>
              <w:t>по</w:t>
            </w:r>
            <w:r>
              <w:t>: 04.06.2020 15:06:34</w:t>
            </w:r>
            <w:r>
              <w:br/>
            </w:r>
            <w:r>
              <w:t>Серийный</w:t>
            </w:r>
            <w:r>
              <w:t xml:space="preserve"> </w:t>
            </w:r>
            <w:r>
              <w:t>номер</w:t>
            </w:r>
            <w:r>
              <w:t>: 4bd1c70006aa639b48726386cafa7bf4</w:t>
            </w:r>
            <w:r>
              <w:br/>
            </w:r>
            <w:r>
              <w:t>Издатель</w:t>
            </w:r>
            <w:r>
              <w:t xml:space="preserve">: </w:t>
            </w:r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Сертум</w:t>
            </w:r>
            <w:r>
              <w:t>-</w:t>
            </w:r>
            <w:r>
              <w:t>Про</w:t>
            </w:r>
            <w:r>
              <w:t>"</w:t>
            </w:r>
            <w:r>
              <w:br/>
            </w:r>
            <w:r>
              <w:t>Время</w:t>
            </w:r>
            <w:r>
              <w:t xml:space="preserve"> </w:t>
            </w:r>
            <w:r>
              <w:t>подписания</w:t>
            </w:r>
            <w:r>
              <w:t>: 13.01.2020 10:23:22</w:t>
            </w:r>
          </w:p>
        </w:tc>
      </w:tr>
    </w:tbl>
    <w:p w:rsidR="00BC064F" w:rsidRDefault="00BC064F">
      <w:pPr>
        <w:sectPr w:rsidR="00BC064F">
          <w:headerReference w:type="default" r:id="rId7"/>
          <w:footerReference w:type="default" r:id="rId8"/>
          <w:pgSz w:w="11905" w:h="16837"/>
          <w:pgMar w:top="1133" w:right="850" w:bottom="1133" w:left="1700" w:header="1133" w:footer="1133" w:gutter="0"/>
          <w:cols w:space="720"/>
        </w:sectPr>
      </w:pPr>
    </w:p>
    <w:p w:rsidR="00BC064F" w:rsidRDefault="00BC064F">
      <w:pPr>
        <w:rPr>
          <w:vanish/>
        </w:rPr>
      </w:pPr>
      <w:bookmarkStart w:id="7" w:name="__bookmark_5"/>
      <w:bookmarkEnd w:id="7"/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BC064F">
        <w:tc>
          <w:tcPr>
            <w:tcW w:w="9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BC064F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5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5"/>
                  </w:tblGrid>
                  <w:tr w:rsidR="00BC064F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C064F" w:rsidRDefault="00764D61">
                        <w:pPr>
                          <w:spacing w:line="240" w:lineRule="exact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bookmarkStart w:id="8" w:name="__bookmark_6"/>
                        <w:bookmarkEnd w:id="8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№ 1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br/>
                          <w:t>к Соглашению</w:t>
                        </w:r>
                      </w:p>
                    </w:tc>
                  </w:tr>
                  <w:tr w:rsidR="00BC064F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C064F" w:rsidRDefault="00764D61"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График перечисления Субсидии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BC064F"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120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450"/>
                          <w:gridCol w:w="2670"/>
                        </w:tblGrid>
                        <w:tr w:rsidR="00BC064F">
                          <w:trPr>
                            <w:tblHeader/>
                          </w:trPr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9" w:name="__bookmark_7"/>
                              <w:bookmarkEnd w:id="9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Сроки предоставления субсидии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Сумма, рублей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31.01.2020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88 127 006-00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29.02.2020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29 375 669-00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31.03.2020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29 375 669-00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30.04.2020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88 127 006-00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31.05.2020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29 375 669-00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30.06.2020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29 375 669-00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31.07.2020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88 127 006-00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31.08.2020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29 375 669-00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30.09.2020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29 375 669-00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31.10.2020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48 959 447-00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 до 30.11.2020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97 918 895-15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6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BC064F" w:rsidRDefault="00764D61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587 513 374-15</w:t>
                              </w:r>
                            </w:p>
                          </w:tc>
                        </w:tr>
                      </w:tbl>
                      <w:p w:rsidR="00BC064F" w:rsidRDefault="00BC064F">
                        <w:pPr>
                          <w:spacing w:line="1" w:lineRule="auto"/>
                        </w:pPr>
                      </w:p>
                    </w:tc>
                  </w:tr>
                  <w:tr w:rsidR="00BC064F">
                    <w:trPr>
                      <w:hidden/>
                    </w:trPr>
                    <w:tc>
                      <w:tcPr>
                        <w:tcW w:w="93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C064F" w:rsidRDefault="00BC064F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9355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338"/>
                          <w:gridCol w:w="2338"/>
                          <w:gridCol w:w="2338"/>
                          <w:gridCol w:w="2341"/>
                        </w:tblGrid>
                        <w:tr w:rsidR="00BC064F">
                          <w:tc>
                            <w:tcPr>
                              <w:tcW w:w="2338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BC064F">
                          <w:trPr>
                            <w:trHeight w:val="240"/>
                          </w:trPr>
                          <w:tc>
                            <w:tcPr>
                              <w:tcW w:w="4676" w:type="dxa"/>
                              <w:gridSpan w:val="2"/>
                              <w:vMerge w:val="restart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Заместитель министра образования Московской области</w:t>
                              </w:r>
                            </w:p>
                          </w:tc>
                          <w:tc>
                            <w:tcPr>
                              <w:tcW w:w="4679" w:type="dxa"/>
                              <w:gridSpan w:val="2"/>
                              <w:vMerge w:val="restart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Ректор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both"/>
                              </w:pPr>
                            </w:p>
                          </w:tc>
                        </w:tr>
                        <w:tr w:rsidR="00BC064F"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</w:t>
                              </w: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Лазарев А.А.</w:t>
                              </w: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</w:t>
                              </w: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Старцева Т.Е.</w:t>
                              </w:r>
                            </w:p>
                          </w:tc>
                        </w:tr>
                        <w:tr w:rsidR="00BC064F"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338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764D61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2341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C064F">
                          <w:trPr>
                            <w:trHeight w:val="280"/>
                          </w:trPr>
                          <w:tc>
                            <w:tcPr>
                              <w:tcW w:w="4676" w:type="dxa"/>
                              <w:gridSpan w:val="2"/>
                              <w:vMerge w:val="restart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0" w:name="Штампы.РуководительУчредителя_2"/>
                              <w:bookmarkEnd w:id="10"/>
                            </w:p>
                            <w:p w:rsidR="00BC064F" w:rsidRDefault="00764D61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Лазарев</w:t>
                              </w:r>
                              <w:r>
                                <w:t xml:space="preserve"> </w:t>
                              </w:r>
                              <w:r>
                                <w:t>Андрей</w:t>
                              </w:r>
                              <w:r>
                                <w:t xml:space="preserve"> </w:t>
                              </w:r>
                              <w:r>
                                <w:t>Александрович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министра</w:t>
                              </w:r>
                              <w:r>
                                <w:t xml:space="preserve"> </w:t>
                              </w:r>
                              <w:r>
                                <w:t>образования</w:t>
                              </w:r>
                              <w:r>
                                <w:t xml:space="preserve"> </w:t>
                              </w:r>
                              <w:r>
                                <w:t>Московской</w:t>
                              </w:r>
                              <w:r>
                                <w:t xml:space="preserve"> </w:t>
                              </w:r>
                              <w:r>
                                <w:t>области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19.09.2019 17:13:47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19.09.2020 17:13:47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7851210b000000039248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ЗАО</w:t>
                              </w:r>
                              <w:r>
                                <w:t xml:space="preserve"> "</w:t>
                              </w:r>
                              <w:r>
                                <w:t>ТАКСНЕТ</w:t>
                              </w:r>
                              <w:r>
                                <w:t>"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13.01.2020 1</w:t>
                              </w:r>
                              <w:r>
                                <w:t>4:35:56</w:t>
                              </w:r>
                            </w:p>
                          </w:tc>
                          <w:tc>
                            <w:tcPr>
                              <w:tcW w:w="4679" w:type="dxa"/>
                              <w:gridSpan w:val="2"/>
                              <w:vMerge w:val="restart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C064F" w:rsidRDefault="00BC064F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1" w:name="Штампы.РуководительУчреждения_2"/>
                              <w:bookmarkEnd w:id="11"/>
                            </w:p>
                            <w:p w:rsidR="00BC064F" w:rsidRDefault="00764D61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Старцева</w:t>
                              </w:r>
                              <w:r>
                                <w:t xml:space="preserve"> </w:t>
                              </w:r>
                              <w:r>
                                <w:t>Татьяна</w:t>
                              </w:r>
                              <w:r>
                                <w:t xml:space="preserve"> </w:t>
                              </w:r>
                              <w:r>
                                <w:t>Евгеньевна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Ректор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04.03.2019 15:02:31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04.06.2020 15:06:34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4bd1c70006aa639b48726386cafa7bf4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Общество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 xml:space="preserve"> </w:t>
                              </w:r>
                              <w:r>
                                <w:t>ограниченной</w:t>
                              </w:r>
                              <w:r>
                                <w:t xml:space="preserve"> </w:t>
                              </w:r>
                              <w:r>
                                <w:t>ответственностью</w:t>
                              </w:r>
                              <w:r>
                                <w:t xml:space="preserve"> "</w:t>
                              </w:r>
                              <w:r>
                                <w:t>Серт</w:t>
                              </w:r>
                              <w:r>
                                <w:t>ум</w:t>
                              </w:r>
                              <w:r>
                                <w:t>-</w:t>
                              </w:r>
                              <w:r>
                                <w:t>Про</w:t>
                              </w:r>
                              <w:r>
                                <w:t>"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13.01.2020 10:23:22</w:t>
                              </w:r>
                            </w:p>
                          </w:tc>
                        </w:tr>
                      </w:tbl>
                      <w:p w:rsidR="00BC064F" w:rsidRDefault="00BC064F">
                        <w:pPr>
                          <w:spacing w:line="1" w:lineRule="auto"/>
                        </w:pPr>
                      </w:p>
                    </w:tc>
                  </w:tr>
                </w:tbl>
                <w:p w:rsidR="00BC064F" w:rsidRDefault="00BC064F">
                  <w:pPr>
                    <w:spacing w:line="1" w:lineRule="auto"/>
                  </w:pPr>
                </w:p>
              </w:tc>
            </w:tr>
          </w:tbl>
          <w:p w:rsidR="00BC064F" w:rsidRDefault="00BC064F">
            <w:pPr>
              <w:spacing w:line="1" w:lineRule="auto"/>
            </w:pPr>
          </w:p>
        </w:tc>
      </w:tr>
    </w:tbl>
    <w:p w:rsidR="00000000" w:rsidRDefault="00764D61"/>
    <w:sectPr w:rsidR="00000000">
      <w:headerReference w:type="default" r:id="rId9"/>
      <w:footerReference w:type="default" r:id="rId10"/>
      <w:pgSz w:w="11905" w:h="16837"/>
      <w:pgMar w:top="1133" w:right="850" w:bottom="1133" w:left="1700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4D61">
      <w:r>
        <w:separator/>
      </w:r>
    </w:p>
  </w:endnote>
  <w:endnote w:type="continuationSeparator" w:id="0">
    <w:p w:rsidR="00000000" w:rsidRDefault="0076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BC064F">
      <w:tc>
        <w:tcPr>
          <w:tcW w:w="9570" w:type="dxa"/>
        </w:tcPr>
        <w:p w:rsidR="00BC064F" w:rsidRDefault="00BC064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BC064F">
      <w:tc>
        <w:tcPr>
          <w:tcW w:w="9570" w:type="dxa"/>
        </w:tcPr>
        <w:p w:rsidR="00BC064F" w:rsidRDefault="00BC064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4D61">
      <w:r>
        <w:separator/>
      </w:r>
    </w:p>
  </w:footnote>
  <w:footnote w:type="continuationSeparator" w:id="0">
    <w:p w:rsidR="00000000" w:rsidRDefault="0076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BC064F">
      <w:tc>
        <w:tcPr>
          <w:tcW w:w="9570" w:type="dxa"/>
        </w:tcPr>
        <w:p w:rsidR="00BC064F" w:rsidRDefault="00BC064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BC064F">
      <w:tc>
        <w:tcPr>
          <w:tcW w:w="9570" w:type="dxa"/>
        </w:tcPr>
        <w:p w:rsidR="00BC064F" w:rsidRDefault="00BC064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4F"/>
    <w:rsid w:val="00764D61"/>
    <w:rsid w:val="00B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Татьяна Ивановна</dc:creator>
  <cp:lastModifiedBy>Коновалова Татьяна Ивановна</cp:lastModifiedBy>
  <cp:revision>2</cp:revision>
  <dcterms:created xsi:type="dcterms:W3CDTF">2020-01-13T13:01:00Z</dcterms:created>
  <dcterms:modified xsi:type="dcterms:W3CDTF">2020-01-13T13:01:00Z</dcterms:modified>
</cp:coreProperties>
</file>